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ee4e9d77d754b5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19724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UČENIČKI DOM</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876.531,17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876.324,22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900.484,30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933.013,91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23.953,13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56.689,69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13.154,89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37.108,02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72.566,69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195,6</w:t>
            </w:r>
          </w:p>
        </w:tc>
      </w:tr>
    </w:tbl>
    <w:p>
      <w:pPr>
        <w:spacing w:before="0" w:after="0"/>
      </w:pPr>
    </w:p>
    <w:p>
      <w:pPr>
        <w:jc w:val="both"/>
      </w:pPr>
      <w:r>
        <w:t xml:space="preserve">Učenički dom u tekućem izvještajnom razdoblju ostvario je prihode poslovanja u iznosu 876.324,22 eura te rashode poslovanja u iznosu 933.013,91 eura. Slijedom prikazanog možemo zaključiti da su rashodi ostvareni u većem iznosu od prihoda što rezultira manjkom prihoda poslovanja u iznosu 56.689,69 eura. Navedeni manjak pojavljuje se zbog evidentiranih rashoda koji se odnose na plaće zaposlenika, materijalna prava zaposlenika te novčanu naknadu poslodavca zbog nezapošljavanja osoba sa invaliditetom za mjesec prosinac u ukupnom iznosu od 60.737,35 eura, a čiji prihod se priznaje u poslovnim knjigama provedenom isplatom koja dospijeva u mjesecu siječnju. Navedeni rashodi evidentirani su na kontu potraživanja za tekuće pomoći proračunskim korisnicima iz proračuna koji im nije nadležan.  U godišnjem izvještajnom razdoblju Učenički dom ostvario je i manjak prihoda od nefinancijske imovine u iznosu 15.877,00 eura, koji je nastao evidentiranim rashodom za nabavu proizvedene dugotrajne imovine, a koji se odnosi na novonabavljenu opremu u zamjenu za postojeću dotrajalu i neuporabljivu imovinu. S obzirom da Učenički dom nije ostvario prihod od prodaje nefinancijske imovine sa kojim bi se pokrio prethodno navedeni rashod, isti će se pokriti manjkom prihoda poslovanja čime se povećava navedeni manjak prihoda poslovanja za pokriće u sljedećem obračunskom razdoblju. Pojašnjenim evidentiranim manjkovima Učenički dom je u tekućem izvještajnom razdoblju ostvario ukupni manjak prihoda i primitaka u iznosu 72.566,69 eura, koji će se pokriti u sljedećem obračunskom razdoblju prihodom poslovanja te viškom prihoda prenesenim iz prethodne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25.897,00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Pomoći temeljem prijenosa EU sredstava ostvarene u izvještajnom razdoblju prethodne godine odnosile su se na sredstva za realizaciju projekta Erasmus+. U izvještajnom razdoblju tekuće godine nije bilo ostvarenih navedenih pomoći s obzirom da za tekuću godinu nije bio prijavljen projekt Erasmus+.</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23.865,84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w:t>
            </w:r>
          </w:p>
        </w:tc>
      </w:tr>
    </w:tbl>
    <w:p>
      <w:pPr>
        <w:spacing w:before="0" w:after="0"/>
      </w:pPr>
    </w:p>
    <w:p>
      <w:pPr>
        <w:jc w:val="both"/>
      </w:pPr>
      <w:r>
        <w:t xml:space="preserve">U izvještajnom razdoblju tekuće godine ostvaren je znatno manji prihod od pruženih usluga s obzirom da se smanjio broj zakupa poslovnog prostora za vrijeme ljetnih praznika u odnosu na prethodnu godinu, iz razloga što su se provodili radovi tekućeg i investicijskog održavanja prostorija Učeničkog doma.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w:t>
            </w:r>
          </w:p>
        </w:tc>
      </w:tr>
    </w:tbl>
    <w:p>
      <w:pPr>
        <w:spacing w:before="0" w:after="0"/>
      </w:pPr>
    </w:p>
    <w:p>
      <w:pPr>
        <w:jc w:val="both"/>
      </w:pPr>
      <w:r>
        <w:t xml:space="preserve">U tekućem izvještajnom razdoblju ostvaren je znatno manji prihod od ostalih prihoda, a koji se odnosi na refundaciju troškova sudjelovanja učenika na Državnoj Domijadi od strane Udruge učeničkih domova RH. U odnosu na prethodnu godinu, u 2025. godini je sudjelovao manji broj učenika na Državnoj Domijadi, s obzirom da su ostvareni lošiji rezultati iz pojedinih aktivnosti u sudjelovanju na Regionalnoj Domijadi.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121.702,78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85.298,45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pPr>
        <w:jc w:val="both"/>
      </w:pPr>
      <w:r>
        <w:t xml:space="preserve">Rashodi za usluge ostvareni su u znatno manjem iznosu u izvještajnom razdoblju tekuće godine u odnosu na izvještajno razdoblje prethodne godine iz razloga što su se u tekućoj godini ostvarili znatno manji troškovi usluga investicijskih održavanja. U prethodnoj godini je bilo potrebe za veći broj radova i održavanja na prostorijama Učeničkog doma.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w:t>
            </w:r>
          </w:p>
        </w:tc>
      </w:tr>
    </w:tbl>
    <w:p>
      <w:pPr>
        <w:spacing w:before="0" w:after="0"/>
      </w:pPr>
    </w:p>
    <w:p>
      <w:pPr>
        <w:jc w:val="both"/>
      </w:pPr>
      <w:r>
        <w:t xml:space="preserve">U izvještajnom razdoblju tekuće godine ostvaren je znatno manji financijski rashod u odnosu na izvještajno razdoblje prethodne godine, a razlog navedenog odstupanja su kamate po presudi koje si bile isplaćene u izvještajnom razdoblju prethodne godine, dok u izvještajnom razdoblju tekuće godine ostvareni iznos odnosi se samo na zatezne kamate iz poslovnih odnosa.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međunarodnim organizacijama te institucijama i tijelima EU (šifre 3621+3622)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U izvještajnom razdoblju tekuće godine nije ostvaren rashod pomoći međunarodnim organizacijama te institucijama i tijelima EU, za razliku od prethodne godine kada su se ostvarene navedene pomoći odnosile na međunarodne prijenose sredstava sudionicima projekta Erasmus+ za sudjelovanje u provedbi aktivnosti po projektu, s obzirom da je Učenički dom bio nositelj navedenog projekta. Za tekuću godinu nije prijavljen projekt Erasmus+.</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U izvještajnom razdoblju tekuće godine nije ostvaren rashod ostalih naknada građanima i kućanstvima iz proračuna, za razliku od prethodne godine kada su se navedene ostvarene naknade odnosile na isplate nagrada učenicima za sudjelovanje na državnim natjecanjima, a koji su postigli prva tri mjesta. U izvještajnom razdoblju tekuće godine nije bilo navedenih postignuća učenika na državnim natjecanjima.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236,7</w:t>
            </w:r>
          </w:p>
        </w:tc>
      </w:tr>
    </w:tbl>
    <w:p>
      <w:pPr>
        <w:spacing w:before="0" w:after="0"/>
      </w:pPr>
    </w:p>
    <w:p>
      <w:pPr>
        <w:jc w:val="both"/>
      </w:pPr>
      <w:r>
        <w:t xml:space="preserve">Navedeni manjak prihoda poslovanja pojavljuje se zbog evidentiranih rashoda koji se odnose na plaće zaposlenika, materijalna prava zaposlenika te novčanu naknadu poslodavca zbog nezapošljavanja osoba sa invaliditetom za mjesec prosinac 2025. godine u ukupnom iznosu od 60.737,35 eura, a čiji prihod se priznaje u poslovnim knjigama provedenom isplatom koja dospijeva u mjesecu siječnju 2026. godine. Navedeni rashodi evidentirani su na kontu potraživanja za tekuće pomoći proračunskim korisnicima iz proračuna koji im nije nadležan. U izvještajnom razdoblju prethodne godine navedeni manjak bio je znatno manji, s obzirom da se u prethodnoj godini plaća zaposlenika evidentirala na kontinuirane rashode budućih razdoblja, te trošak nije teretio konta rashoda.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66.971,51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1105,2</w:t>
            </w:r>
          </w:p>
        </w:tc>
      </w:tr>
    </w:tbl>
    <w:p>
      <w:pPr>
        <w:spacing w:before="0" w:after="0"/>
      </w:pPr>
    </w:p>
    <w:p>
      <w:pPr>
        <w:jc w:val="both"/>
      </w:pPr>
      <w:r>
        <w:t xml:space="preserve">Pod šifrom 96 Obračunati prihodi poslovanja-nenaplaćeni evidentirani su potraživani prihodi za troškove upisa, sufinanciranje cijene usluga te prihod za štetu na imovini u ukupnom iznosu od 6.234,16 eura, dok se ostatak evidentiranog iznosa u iznosu od 60.737,35 eura odnosi na potraživanje tekućih pomoći proračunskim korisnicima iz proračuna koji im nije nadležan za rashode plaća zaposlenika, materijalnih prava te novčanu naknadu poslodavca zbog nezapošljavanja osoba sa invaliditetom za mjesec prosinac 2025. godine, a koji dospijevaju u mjesecu siječnju 2026. godine. U izvještajnom razdoblju prethodne godine nije bilo evidentiranog iznosa za tekuće pomoći proračunskim korisnicima iz proračuna koji im nije nadležan, s obzirom da su se plaće evidentirale na kontinuirane rashode budućih razdoblja.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37.108,02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72.566,69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w:t>
            </w:r>
          </w:p>
        </w:tc>
      </w:tr>
    </w:tbl>
    <w:p>
      <w:pPr>
        <w:spacing w:before="0" w:after="0"/>
      </w:pPr>
    </w:p>
    <w:p>
      <w:pPr>
        <w:jc w:val="both"/>
      </w:pPr>
      <w:r>
        <w:t xml:space="preserve">U izvještajnom razdoblju tekuće godine ostvaren je znatno veći manjak prihoda u odnosu na prethodnu godinu. Navedeni manjak pojavljuje se zbog evidentiranih rashoda koji se odnose na plaće zaposlenika, materijalna prava zaposlenika te novčanu naknadu poslodavca zbog nezapošljavanja osoba sa invaliditetom za mjesec prosinac, a čiji prihod se priznaje u poslovnim knjigama provedenom isplatom koja dospijeva u mjesecu siječnju 2026. godine. Navedeni evidentirani rashodi rezultiraju većim manjkom prihoda poslovanja u iznosu 56.689,69. U navedeni ukupni manjak zbrojen je i manjak od nefinancijske imovine u iznosu 15.877,00 eura. S obzirom da Učenički dom nije ostvario prihod od prodaje nefinancijske imovine sa kojim bi se pokrio rashod za nabavu nefinancijske imovine, nastao je prethodno navedeni manjak.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45.324,33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Sučeljavanjem tekućih prihoda i primitaka te rashoda i izdataka na dan 31. prosinca 2025. godine utvrđen je manjak prihoda poslovanja u iznosu 56.689,69 eura. Evidentiranim prenesenim viškom prihoda poslovanja od prethodne godine u iznosu 27.242,36 eura umanjuje se prethodno navedeni manjak prihoda poslovanja tekuće poslovne godine. Ova poslovna promjena evidentira se zatvaranjem osnovnog računa viška poslovanja prenesenog prethodne godine te zaduženjem osnovnog računa manjka prihoda poslovanja u iznosu 29.447,33 eura za pokriće u sljedećem obračunskom razdoblju. Nadalje, sučeljavanjem tekućih prihoda i rashoda od nefinancijske imovine utvrđen je manjak od nefinancijske imovine u iznosu 15.877,00 eura. Prihodi poslovanja iz izvora vlastitih i namjenskih prihoda proračunskih korisnika utrošeni su za financiranje rashoda za nefinancijsku imovinu s obzirom na neostvarene prihode od prodaje nefinancijske imovine, stoga se manjak prihoda poslovanja uvećava za iznos iskazanog manjka prihoda od nefinancijske imovine.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51.988,83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Na odjeljku 19 nema evidentiranih rashoda budućih razdoblja u tekućem izvještajnom razdoblju, s obzirom da se od 1. siječnja 2025. godine ukinula skupina računa 193 Kontinuirani rashodi budućeg razdoblja.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16.739,53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521,4</w:t>
            </w:r>
          </w:p>
        </w:tc>
      </w:tr>
    </w:tbl>
    <w:p>
      <w:pPr>
        <w:spacing w:before="0" w:after="0"/>
      </w:pPr>
    </w:p>
    <w:p>
      <w:pPr>
        <w:jc w:val="both"/>
      </w:pPr>
      <w:r>
        <w:t xml:space="preserve">Na kraju izvještajnog razdoblja tekuće poslovne godine evidentiran je veći iznos na računu 0227 - Uređaji, strojevi i oprema za ostale namjene, za razliku početka izvještajnog razdoblja. Razlog odstupanja je potreba za nabavom novih uređaja u zamjenu za dosadašnje dotrajale uređaje na kojih se nije mogao izvršiti popravak. Navedeni uređaji su profesionalna perilica rublja i perilica za tanjure koji imaju veliku nabavnu vrijednost.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Evidentirano potraživanje u iznosu 332,16 eura odnosi se na potraživanje za naknade koje se refundiraju odnosno bolovanja za njegu djeteta za mjesec studeni i prosinac 2025. godine.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60.737,55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Navedena evidentirana potraživanja odnose se na potraživanja za pokriće rashoda za zaposlene i naknade zbog nezapošljavanja osoba sa invaliditetom za mjesec prosinac 2026. godine, a koji dospijevaju u siječnju 2026. godine.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61.074,37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46.859,46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bl>
    <w:p>
      <w:pPr>
        <w:spacing w:before="0" w:after="0"/>
      </w:pPr>
    </w:p>
    <w:p>
      <w:pPr>
        <w:jc w:val="both"/>
      </w:pPr>
      <w:r>
        <w:t xml:space="preserve">Evidentirana potraživanja za prihode poslovanja manjeg su iznosa na kraju izvještajnog razdoblja u odnosu na stanje 1. siječnja. Razlog odstupanja je proveden otpis zastarjelih i nenaplativih potraživanja prema Odluci ravnatelja na temelju mišljenja inventurne komisije, a za koja su poduzete sve radnje i mjere naplate.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60.737,55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Evidentirana nedospjela potraživanja za prihode poslovanja u punom iznosu odnose se na prihode za pokriće rashoda za zaposlene, a koji dospijevaju u siječnju 2026. godine.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Evidentirani iznos odnosi se na provedeni ispravak vrijednosti dugotrajne imovine na dan 31. prosinca 2025. godine.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kraju izvještajnog razdoblja evidentirana je jedna dospjela nenaplaćena obveza za uslugu interneta koja se odnosi na mjesec prosinac 2025. godine u iznosu 238,90 eura. Razlog nenaplative dospjele obveze je zaprimanje računa nakon proteka izvještajnog razdoblja. Kontaktiranjem dobavljača konstatirano je da navedeni račun nije uredno prošao kroz sustav e-računi zbog uvođenja Fiskalizacije 2.0 i rada na aplikaciji Fina e-računi te su morali ponoviti slanje e-računa u siječnju 2026. kada smo isti i zaprimili u našem sustavu. Navedena dospjela obveza podmirena je početkom siječnja 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05bcf78c77b4c84" /></Relationships>
</file>