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3ae55741b34d28"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19724</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UČENIČKI DOM</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455.785,47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459.085,55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457.878,41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499.369,50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2.092,94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40.283,95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1924,8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9.645,73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9.237,58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9.645,73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9.237,58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95,8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11.738,67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49.521,53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421,9</w:t>
            </w:r>
          </w:p>
        </w:tc>
      </w:tr>
    </w:tbl>
    <w:p>
      <w:pPr>
        <w:spacing w:before="0" w:after="0"/>
      </w:pPr>
    </w:p>
    <w:p>
      <w:pPr>
        <w:jc w:val="both"/>
        <w:pStyle w:val="Normal"/>
        <w:spacing w:line="240" w:lineRule="auto"/>
      </w:pPr>
      <w:r>
        <w:rPr>
          <w:sz w:val="24"/>
          <w:rFonts w:ascii="Times New Roman" w:hAnsi="Times New Roman"/>
        </w:rPr>
        <w:t>Učenički dom u tekućem izvještajnom razdoblju ostvario je prihode u iznosu 459.085,55 eura te rashode u iznosu 499.369,50 eura. Slijedom prikazanog možemo zaključiti da su rashodi ostvareni u većem iznosu od prihoda što rezultira manjkom prihoda poslovanja u iznosu 40.283,95 eura. Navedeni manjak pojavljuje se zbog evidentiranih rashoda koji se odnose na plaće zaposlenika te novčanu naknadu poslodavca zbog nezapošljavanja osoba sa invaliditetom u ukupnom iznosu od 52.134,21 eura, a čiji prihod se priznaje u poslovnim knjigama provedenom isplatom koja dospijeva u mjesecu srpnju. Navedeni rashodi evidentirani su na kontu potraživanja za tekuće pomoći proračunskim korisnicima iz proračuna koji im nije nadležan.  
U polugodišnjem izvještajnom razdobolju, Učenički dom ostvario je i manjak prihoda od nefinancijske imovine u iznosu 9.237,58 eura koji je nastao evidentiranim rashodom za nabavu proizvedene dugotrajne imovine, a koji se odnosi na novonabavljenu opremu u zamjenu za postojeću dotrajalu i neuporabljivu imovinu. S obzirom da Učenički dom nije ostvario prihod od prodaje nefinancijske imovine sa kojim bi se pokrio prethodno navedeni rashod, isti će se prebiti prenesenim viškom prihoda poslovanja prethodne godine koji iznosi 27.242,36 eura. 
Pojašnjenim evidentiranim manjkovima Učenički dom je u tekućem izvještajnom razdoblju ostvario ukupni manjak prihoda i primitaka u iznosu 49.521,53 eura, koji će se pokriti u sljedećem obračunskom razdoblju prihodom poslovanja te viškom prihoda prenesenim iz prethodne godine. </w:t>
      </w:r>
    </w:p>
    <w:p>
      <w:r>
        <w:br/>
      </w:r>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Evidentirani iznos obveza u obrascu odnosi se na nedospjele obveze na kraju izvještajnog razdoblja, a koje uključuju obveze za zaposlene koje dospijevaju u srpnju te obveze prema dobavljačima po zaprimljenim računima čiji su rokovi dospijeća u srpnju (šifra V006). Slijedom navedenog, nema evidentiranih dospjelih a nepodmirenih obveza na kraju izvještajnog razdoblja.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533a0e8d04f14c9a" /></Relationships>
</file>